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Информационная справка по приведению площадки </w:t>
      </w:r>
      <w:r>
        <w:rPr>
          <w:rFonts w:ascii="Times New Roman" w:hAnsi="Times New Roman"/>
          <w:szCs w:val="24"/>
        </w:rPr>
        <w:t xml:space="preserve">центров образования естественно-научной и технологической направленностей</w:t>
      </w:r>
      <w:r>
        <w:rPr>
          <w:rFonts w:ascii="Times New Roman" w:hAnsi="Times New Roman"/>
          <w:szCs w:val="24"/>
        </w:rPr>
        <w:t xml:space="preserve"> в соответствии с методическими рекомендациями </w:t>
      </w:r>
      <w:r/>
    </w:p>
    <w:p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/>
    </w:p>
    <w:tbl>
      <w:tblPr>
        <w:tblStyle w:val="675"/>
        <w:tblW w:w="0" w:type="auto"/>
        <w:tblLook w:val="04A0" w:firstRow="1" w:lastRow="0" w:firstColumn="1" w:lastColumn="0" w:noHBand="0" w:noVBand="1"/>
      </w:tblPr>
      <w:tblGrid>
        <w:gridCol w:w="516"/>
        <w:gridCol w:w="4027"/>
        <w:gridCol w:w="5228"/>
      </w:tblGrid>
      <w:tr>
        <w:trPr/>
        <w:tc>
          <w:tcPr>
            <w:tcW w:w="516" w:type="dxa"/>
            <w:textDirection w:val="lrTb"/>
            <w:noWrap w:val="false"/>
          </w:tcPr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</w:t>
            </w:r>
            <w:r/>
          </w:p>
        </w:tc>
        <w:tc>
          <w:tcPr>
            <w:tcW w:w="5433" w:type="dxa"/>
            <w:textDirection w:val="lrTb"/>
            <w:noWrap w:val="false"/>
          </w:tcPr>
          <w:p>
            <w:pPr>
              <w:contextualSpacing/>
              <w:ind w:right="-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r>
              <w:rPr>
                <w:rFonts w:ascii="Times New Roman" w:hAnsi="Times New Roman"/>
                <w:szCs w:val="24"/>
              </w:rPr>
              <w:t xml:space="preserve">естественно-научной и технологической направленностей</w:t>
            </w:r>
            <w:r/>
          </w:p>
        </w:tc>
        <w:tc>
          <w:tcPr>
            <w:tcW w:w="4246" w:type="dxa"/>
            <w:textDirection w:val="lrTb"/>
            <w:noWrap w:val="false"/>
          </w:tcPr>
          <w:p>
            <w:pPr>
              <w:contextualSpacing/>
              <w:ind w:right="-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Забитуйская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средняя общеобразовательная школа 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</w:t>
            </w:r>
            <w:r/>
          </w:p>
        </w:tc>
        <w:tc>
          <w:tcPr>
            <w:tcW w:w="5433" w:type="dxa"/>
            <w:textDirection w:val="lrTb"/>
            <w:noWrap w:val="false"/>
          </w:tcPr>
          <w:p>
            <w:pPr>
              <w:contextualSpacing/>
              <w:ind w:right="-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Адрес фактического местонахождения общеобразовательной организации</w:t>
            </w:r>
            <w:r/>
          </w:p>
        </w:tc>
        <w:tc>
          <w:tcPr>
            <w:tcW w:w="424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669456 Иркутская обл.,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Аларский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район, пос. Забитуй , ул. Гоголя, 1 ;</w:t>
            </w:r>
            <w:r/>
          </w:p>
          <w:p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</w:t>
            </w:r>
            <w:r/>
          </w:p>
          <w:p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669456 Иркутская обл.,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Аларский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район, пос. Забитуй , ул. Степана Разина, 2 а 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  <w:r/>
          </w:p>
        </w:tc>
        <w:tc>
          <w:tcPr>
            <w:tcW w:w="5433" w:type="dxa"/>
            <w:textDirection w:val="lrTb"/>
            <w:noWrap w:val="false"/>
          </w:tcPr>
          <w:p>
            <w:pPr>
              <w:contextualSpacing/>
              <w:ind w:right="-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  <w:r/>
          </w:p>
        </w:tc>
        <w:tc>
          <w:tcPr>
            <w:tcW w:w="4246" w:type="dxa"/>
            <w:textDirection w:val="lrTb"/>
            <w:noWrap w:val="false"/>
          </w:tcPr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Аганаева</w:t>
            </w:r>
            <w:r>
              <w:rPr>
                <w:rFonts w:ascii="Times New Roman" w:hAnsi="Times New Roman"/>
                <w:szCs w:val="24"/>
              </w:rPr>
              <w:t xml:space="preserve"> В.Е.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  <w:r/>
          </w:p>
        </w:tc>
        <w:tc>
          <w:tcPr>
            <w:tcW w:w="5433" w:type="dxa"/>
            <w:textDirection w:val="lrTb"/>
            <w:noWrap w:val="false"/>
          </w:tcPr>
          <w:p>
            <w:pPr>
              <w:contextualSpacing/>
              <w:ind w:right="-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центра образования </w:t>
            </w:r>
            <w:r>
              <w:rPr>
                <w:rFonts w:ascii="Times New Roman" w:hAnsi="Times New Roman"/>
                <w:szCs w:val="24"/>
              </w:rPr>
              <w:t xml:space="preserve">естественно-научной и технологической направленностей</w:t>
            </w:r>
            <w:r>
              <w:rPr>
                <w:rFonts w:ascii="Times New Roman" w:hAnsi="Times New Roman"/>
                <w:szCs w:val="24"/>
              </w:rPr>
              <w:t xml:space="preserve">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  <w:r/>
          </w:p>
        </w:tc>
        <w:tc>
          <w:tcPr>
            <w:tcW w:w="4246" w:type="dxa"/>
            <w:textDirection w:val="lrTb"/>
            <w:noWrap w:val="false"/>
          </w:tcPr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Хангалова С.Б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</w:t>
            </w:r>
            <w:r/>
          </w:p>
        </w:tc>
        <w:tc>
          <w:tcPr>
            <w:tcW w:w="5433" w:type="dxa"/>
            <w:textDirection w:val="lrTb"/>
            <w:noWrap w:val="false"/>
          </w:tcPr>
          <w:p>
            <w:pPr>
              <w:contextualSpacing/>
              <w:ind w:right="-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Ссылка на специальный раздел «Центр «Точка роста</w:t>
            </w:r>
            <w:r>
              <w:rPr>
                <w:rFonts w:ascii="Times New Roman" w:hAnsi="Times New Roman"/>
                <w:szCs w:val="24"/>
              </w:rPr>
              <w:t xml:space="preserve">»</w:t>
            </w:r>
            <w:r>
              <w:rPr>
                <w:rFonts w:ascii="Times New Roman" w:hAnsi="Times New Roman"/>
                <w:szCs w:val="24"/>
              </w:rPr>
              <w:t xml:space="preserve"> официального сайта общеобразовательной организации</w:t>
            </w:r>
            <w:r>
              <w:rPr>
                <w:rStyle w:val="679"/>
                <w:rFonts w:ascii="Times New Roman" w:hAnsi="Times New Roman"/>
                <w:szCs w:val="24"/>
              </w:rPr>
              <w:footnoteReference w:id="2"/>
            </w:r>
            <w:r/>
          </w:p>
        </w:tc>
        <w:tc>
          <w:tcPr>
            <w:tcW w:w="4246" w:type="dxa"/>
            <w:textDirection w:val="lrTb"/>
            <w:noWrap w:val="false"/>
          </w:tcPr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/>
            <w:hyperlink r:id="rId9" w:tooltip="http://zabitui.alaredu.ru/index.php/tochka-rosta" w:history="1">
              <w:r>
                <w:rPr>
                  <w:rStyle w:val="680"/>
                </w:rPr>
                <w:t xml:space="preserve">http://zabitui.alaredu.ru/index.php/tochka-rosta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http://www.zabitui.alaredu.ru/index.php/obshchaya-informatsiya-o-tsentre-tochka-rosta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  <w:r/>
          </w:p>
        </w:tc>
        <w:tc>
          <w:tcPr>
            <w:tcW w:w="5433" w:type="dxa"/>
            <w:textDirection w:val="lrTb"/>
            <w:noWrap w:val="false"/>
          </w:tcPr>
          <w:p>
            <w:pPr>
              <w:contextualSpacing/>
              <w:ind w:right="-1"/>
              <w:jc w:val="both"/>
              <w:rPr>
                <w:rFonts w:ascii="Times New Roman" w:hAnsi="Times New Roman"/>
                <w:szCs w:val="24"/>
                <w:highlight w:val="green"/>
              </w:rPr>
            </w:pPr>
            <w:r>
              <w:rPr>
                <w:rFonts w:ascii="Times New Roman" w:hAnsi="Times New Roman"/>
                <w:szCs w:val="24"/>
              </w:rPr>
              <w:t xml:space="preserve">Перечень рабочих</w:t>
            </w:r>
            <w:r>
              <w:rPr>
                <w:rFonts w:ascii="Times New Roman" w:hAnsi="Times New Roman"/>
                <w:szCs w:val="24"/>
              </w:rPr>
              <w:t xml:space="preserve"> программ по учебным предметам, реализуемых на базе центра образования естественно-научной и технологической направленностей</w:t>
            </w:r>
            <w:r/>
          </w:p>
        </w:tc>
        <w:tc>
          <w:tcPr>
            <w:tcW w:w="4246" w:type="dxa"/>
            <w:textDirection w:val="lrTb"/>
            <w:noWrap w:val="false"/>
          </w:tcPr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Рабочие программы основного общего образования по биологии;</w:t>
            </w:r>
            <w:r/>
          </w:p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рабочие программы основного общего образования по химии;</w:t>
            </w:r>
            <w:r/>
          </w:p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рабочие программы основного общего образования по физике;</w:t>
            </w:r>
            <w:r/>
          </w:p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рабочие программы основного общего образования по информатике;</w:t>
            </w:r>
            <w:r/>
          </w:p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рабочие программы основного общего образования по технологии;</w:t>
            </w:r>
            <w:r/>
          </w:p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рабочие программы среднего общего образования по биологии; </w:t>
            </w:r>
            <w:r/>
          </w:p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рабочие программы среднего общего образования по химии;</w:t>
            </w:r>
            <w:r/>
          </w:p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рабочие программы среднего общего образования по физике;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/>
          </w:p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рабочие программы среднего общего образования по информатике;</w:t>
            </w:r>
            <w:r/>
          </w:p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рабочая программа среднего общего образования по астрономии</w:t>
            </w:r>
            <w:r>
              <w:rPr>
                <w:rFonts w:ascii="Times New Roman" w:hAnsi="Times New Roman"/>
                <w:szCs w:val="24"/>
              </w:rPr>
              <w:t xml:space="preserve">;</w:t>
            </w:r>
            <w:r/>
          </w:p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рабочая программа среднего общего образования по элективному курсу «Биология в вопросах и ответах».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7.</w:t>
            </w:r>
            <w:r/>
          </w:p>
        </w:tc>
        <w:tc>
          <w:tcPr>
            <w:tcW w:w="5433" w:type="dxa"/>
            <w:textDirection w:val="lrTb"/>
            <w:noWrap w:val="false"/>
          </w:tcPr>
          <w:p>
            <w:pPr>
              <w:contextualSpacing/>
              <w:ind w:right="-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  <w:r/>
          </w:p>
        </w:tc>
        <w:tc>
          <w:tcPr>
            <w:tcW w:w="4246" w:type="dxa"/>
            <w:textDirection w:val="lrTb"/>
            <w:noWrap w:val="false"/>
          </w:tcPr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Дополнительная общеразвивающая программа начального общего образования информационно-технического направления «</w:t>
            </w:r>
            <w:r>
              <w:rPr>
                <w:rFonts w:ascii="Times New Roman" w:hAnsi="Times New Roman"/>
                <w:szCs w:val="24"/>
              </w:rPr>
              <w:t xml:space="preserve">Инфознайка»;</w:t>
            </w:r>
            <w:r/>
          </w:p>
          <w:p>
            <w:pPr>
              <w:contextualSpacing/>
              <w:ind w:right="-1"/>
              <w:rPr>
                <w:rFonts w:ascii="Times New Roman" w:hAnsi="Times New Roman"/>
                <w:szCs w:val="24"/>
                <w:highlight w:val="none"/>
              </w:rPr>
            </w:pPr>
            <w:r>
              <w:rPr>
                <w:rFonts w:ascii="Times New Roman" w:hAnsi="Times New Roman"/>
                <w:szCs w:val="24"/>
              </w:rPr>
              <w:t xml:space="preserve">дополнительная общеразвивающая программа основного общего образования информационно-</w:t>
            </w:r>
            <w:r>
              <w:rPr>
                <w:rFonts w:ascii="Times New Roman" w:hAnsi="Times New Roman"/>
                <w:szCs w:val="24"/>
              </w:rPr>
              <w:t xml:space="preserve">технического направления «Мегабит»;</w:t>
            </w:r>
            <w:r/>
          </w:p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highlight w:val="none"/>
              </w:rPr>
            </w:r>
            <w:r>
              <w:rPr>
                <w:rFonts w:ascii="Times New Roman" w:hAnsi="Times New Roman"/>
                <w:szCs w:val="24"/>
              </w:rPr>
              <w:t xml:space="preserve">дополнительная общеразвивающая программа основного общего образования естественно-научного направления «Клуб Юный исследователь»;</w:t>
            </w:r>
            <w:r/>
          </w:p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дополнительная общеразвивающая программа основного общего образования спортивного направления «Белая ладья»</w:t>
            </w:r>
            <w:r>
              <w:rPr>
                <w:rFonts w:ascii="Times New Roman" w:hAnsi="Times New Roman"/>
                <w:szCs w:val="24"/>
                <w:highlight w:val="none"/>
              </w:rPr>
            </w:r>
            <w:r>
              <w:rPr>
                <w:rFonts w:ascii="Times New Roman" w:hAnsi="Times New Roman"/>
                <w:szCs w:val="24"/>
                <w:highlight w:val="none"/>
              </w:rPr>
            </w:r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8.</w:t>
            </w:r>
            <w:r/>
          </w:p>
        </w:tc>
        <w:tc>
          <w:tcPr>
            <w:tcW w:w="5433" w:type="dxa"/>
            <w:textDirection w:val="lrTb"/>
            <w:noWrap w:val="false"/>
          </w:tcPr>
          <w:p>
            <w:pPr>
              <w:contextualSpacing/>
              <w:ind w:right="-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естественно-научной и технологической направленностей</w:t>
            </w:r>
            <w:r/>
          </w:p>
        </w:tc>
        <w:tc>
          <w:tcPr>
            <w:tcW w:w="424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Рабочая программа курса внеурочной деятельности </w:t>
            </w:r>
            <w:r>
              <w:rPr>
                <w:rFonts w:ascii="Times New Roman" w:hAnsi="Times New Roman"/>
                <w:sz w:val="24"/>
              </w:rPr>
              <w:t xml:space="preserve">основного общего образования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естественно-научной направленности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«Мир физики»</w:t>
            </w:r>
            <w:r>
              <w:rPr>
                <w:rFonts w:ascii="Times New Roman" w:hAnsi="Times New Roman"/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rPr>
                <w:rFonts w:asciiTheme="minorHAnsi" w:hAnsiTheme="minorHAns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</w:t>
            </w:r>
            <w:r>
              <w:rPr>
                <w:rFonts w:ascii="Times New Roman" w:hAnsi="Times New Roman"/>
                <w:sz w:val="24"/>
              </w:rPr>
              <w:t xml:space="preserve">або</w:t>
            </w:r>
            <w:r>
              <w:rPr>
                <w:sz w:val="24"/>
              </w:rPr>
              <w:t xml:space="preserve">чая программа курса внеурочной деятельности </w:t>
            </w:r>
            <w:r>
              <w:rPr>
                <w:rFonts w:ascii="Times New Roman" w:hAnsi="Times New Roman"/>
                <w:sz w:val="24"/>
              </w:rPr>
              <w:t xml:space="preserve">основного общего образования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естественно-научной направленности </w:t>
            </w:r>
            <w:r>
              <w:rPr>
                <w:rFonts w:ascii="Times New Roman" w:hAnsi="Times New Roman"/>
                <w:sz w:val="24"/>
              </w:rPr>
              <w:t xml:space="preserve">«</w:t>
            </w:r>
            <w:r>
              <w:rPr>
                <w:rFonts w:ascii="Times New Roman" w:hAnsi="Times New Roman"/>
                <w:sz w:val="24"/>
              </w:rPr>
              <w:t xml:space="preserve">Химический калейдоскоп»</w:t>
            </w:r>
            <w:r>
              <w:rPr>
                <w:rFonts w:ascii="Times New Roman" w:hAnsi="Times New Roman"/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contextualSpacing/>
              <w:ind w:right="-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р</w:t>
            </w:r>
            <w:r>
              <w:rPr>
                <w:rFonts w:ascii="Times New Roman" w:hAnsi="Times New Roman"/>
                <w:sz w:val="24"/>
              </w:rPr>
              <w:t xml:space="preserve">абоч</w:t>
            </w:r>
            <w:r>
              <w:rPr>
                <w:sz w:val="24"/>
              </w:rPr>
              <w:t xml:space="preserve">ая программа курса внеурочной деятельности </w:t>
            </w:r>
            <w:r>
              <w:rPr>
                <w:rFonts w:ascii="Times New Roman" w:hAnsi="Times New Roman"/>
                <w:sz w:val="24"/>
              </w:rPr>
              <w:t xml:space="preserve">основного общего образования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естественно-научной направленности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«Юный эколог»</w:t>
            </w:r>
            <w:r>
              <w:rPr>
                <w:sz w:val="24"/>
              </w:rPr>
            </w:r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9.</w:t>
            </w:r>
            <w:r/>
          </w:p>
        </w:tc>
        <w:tc>
          <w:tcPr>
            <w:tcW w:w="5433" w:type="dxa"/>
            <w:textDirection w:val="lrTb"/>
            <w:noWrap w:val="false"/>
          </w:tcPr>
          <w:p>
            <w:pPr>
              <w:contextualSpacing/>
              <w:ind w:right="-1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Ссылка на раздел официального сайта общеобразовательной организации, в котором размещены утвержденные программы из п.6-8</w:t>
            </w:r>
            <w:r/>
          </w:p>
        </w:tc>
        <w:tc>
          <w:tcPr>
            <w:tcW w:w="4246" w:type="dxa"/>
            <w:textDirection w:val="lrTb"/>
            <w:noWrap w:val="false"/>
          </w:tcPr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http://www.zabitui.alaredu.ru/index.php/obrazovat-programmy-tocshka-rosta</w:t>
            </w:r>
            <w:r/>
          </w:p>
        </w:tc>
      </w:tr>
      <w:tr>
        <w:trPr/>
        <w:tc>
          <w:tcPr>
            <w:tcW w:w="516" w:type="dxa"/>
            <w:textDirection w:val="lrTb"/>
            <w:noWrap w:val="false"/>
          </w:tcPr>
          <w:p>
            <w:pPr>
              <w:contextualSpacing/>
              <w:ind w:right="-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10.</w:t>
            </w:r>
            <w:r/>
          </w:p>
        </w:tc>
        <w:tc>
          <w:tcPr>
            <w:tcW w:w="54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Общее количество педагогических работников, </w:t>
            </w:r>
            <w:r>
              <w:rPr>
                <w:rFonts w:ascii="Times New Roman" w:hAnsi="Times New Roman"/>
                <w:szCs w:val="24"/>
              </w:rPr>
              <w:t xml:space="preserve">реализующих образовательные программы на базе центр</w:t>
            </w:r>
            <w:r>
              <w:rPr>
                <w:rFonts w:ascii="Times New Roman" w:hAnsi="Times New Roman"/>
                <w:szCs w:val="24"/>
              </w:rPr>
              <w:t xml:space="preserve">а</w:t>
            </w:r>
            <w:r>
              <w:rPr>
                <w:rFonts w:ascii="Times New Roman" w:hAnsi="Times New Roman"/>
                <w:szCs w:val="24"/>
              </w:rPr>
              <w:t xml:space="preserve"> образования естественно-научной и технологической направленностей</w:t>
            </w:r>
            <w:r/>
          </w:p>
        </w:tc>
        <w:tc>
          <w:tcPr>
            <w:tcW w:w="4246" w:type="dxa"/>
            <w:textDirection w:val="lrTb"/>
            <w:noWrap w:val="false"/>
          </w:tcPr>
          <w:p>
            <w:pPr>
              <w:contextualSpacing/>
              <w:ind w:right="-1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 xml:space="preserve">5</w:t>
            </w:r>
            <w:r/>
          </w:p>
        </w:tc>
      </w:tr>
    </w:tbl>
    <w:p>
      <w:pPr>
        <w:rPr>
          <w:rFonts w:asciiTheme="minorHAnsi" w:hAnsiTheme="minorHAnsi"/>
        </w:rPr>
      </w:pPr>
      <w:r>
        <w:rPr>
          <w:rFonts w:asciiTheme="minorHAnsi" w:hAnsiTheme="minorHAnsi"/>
        </w:rPr>
      </w:r>
      <w:r/>
    </w:p>
    <w:sectPr>
      <w:footnotePr/>
      <w:endnotePr/>
      <w:type w:val="nextPage"/>
      <w:pgSz w:w="11906" w:h="16838" w:orient="portrait"/>
      <w:pgMar w:top="1134" w:right="849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s text">
    <w:panose1 w:val="05040102010807070707"/>
  </w:font>
  <w:font w:name="Segoe UI">
    <w:panose1 w:val="020B0502040504020204"/>
  </w:font>
  <w:font w:name="Tahoma">
    <w:panose1 w:val="020B0506030602030204"/>
  </w:font>
  <w:font w:name="Calibri">
    <w:panose1 w:val="020F0502020204030204"/>
  </w:font>
  <w:font w:name="Times New Roman">
    <w:panose1 w:val="02020603050405020304"/>
  </w:font>
  <w:font w:name="nttimes/cyrillic">
    <w:panose1 w:val="05040102010807070707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shd w:val="clear" w:color="auto" w:fill="ffffff"/>
        <w:rPr>
          <w:rFonts w:ascii="YS Text" w:hAnsi="YS Text"/>
          <w:color w:val="000000"/>
          <w:sz w:val="16"/>
          <w:szCs w:val="16"/>
        </w:rPr>
      </w:pPr>
      <w:r>
        <w:rPr>
          <w:rStyle w:val="679"/>
          <w:rFonts w:ascii="Times New Roman" w:hAnsi="Times New Roman"/>
          <w:szCs w:val="24"/>
        </w:rPr>
        <w:footnoteRef/>
      </w:r>
      <w:r>
        <w:rPr>
          <w:rFonts w:ascii="YS Text" w:hAnsi="YS Text"/>
          <w:color w:val="000000"/>
          <w:sz w:val="16"/>
          <w:szCs w:val="16"/>
        </w:rPr>
        <w:t xml:space="preserve">В разделе «Центр «Точка роста» размещается информация о создании и функционировании Центра «Точка</w:t>
      </w:r>
      <w:r/>
    </w:p>
    <w:p>
      <w:pPr>
        <w:shd w:val="clear" w:color="auto" w:fill="ffffff"/>
        <w:rPr>
          <w:rFonts w:ascii="YS Text" w:hAnsi="YS Text"/>
          <w:color w:val="000000"/>
          <w:sz w:val="16"/>
          <w:szCs w:val="16"/>
        </w:rPr>
      </w:pPr>
      <w:r>
        <w:rPr>
          <w:rFonts w:ascii="YS Text" w:hAnsi="YS Text"/>
          <w:color w:val="000000"/>
          <w:sz w:val="16"/>
          <w:szCs w:val="16"/>
        </w:rPr>
        <w:t xml:space="preserve">роста», в том числе информации об образовательных программах, оборудовании Центра «Точка роста»,</w:t>
      </w:r>
      <w:r/>
    </w:p>
    <w:p>
      <w:pPr>
        <w:shd w:val="clear" w:color="auto" w:fill="ffffff"/>
        <w:rPr>
          <w:rFonts w:ascii="YS Text" w:hAnsi="YS Text"/>
          <w:color w:val="000000"/>
          <w:sz w:val="16"/>
          <w:szCs w:val="16"/>
        </w:rPr>
      </w:pPr>
      <w:r>
        <w:rPr>
          <w:rFonts w:ascii="YS Text" w:hAnsi="YS Text"/>
          <w:color w:val="000000"/>
          <w:sz w:val="16"/>
          <w:szCs w:val="16"/>
        </w:rPr>
        <w:t xml:space="preserve">планируемом режиме занятий обучающихся, планируемых мероприятиях, а также размещается информация о</w:t>
      </w:r>
      <w:r/>
    </w:p>
    <w:p>
      <w:pPr>
        <w:shd w:val="clear" w:color="auto" w:fill="ffffff"/>
        <w:rPr>
          <w:rFonts w:ascii="YS Text" w:hAnsi="YS Text"/>
          <w:color w:val="000000"/>
          <w:sz w:val="16"/>
          <w:szCs w:val="16"/>
        </w:rPr>
      </w:pPr>
      <w:r>
        <w:rPr>
          <w:rFonts w:ascii="YS Text" w:hAnsi="YS Text"/>
          <w:color w:val="000000"/>
          <w:sz w:val="16"/>
          <w:szCs w:val="16"/>
        </w:rPr>
        <w:t xml:space="preserve">национальном проекте</w:t>
      </w:r>
      <w:r/>
    </w:p>
    <w:p>
      <w:pPr>
        <w:shd w:val="clear" w:color="auto" w:fill="ffffff"/>
        <w:rPr>
          <w:rFonts w:ascii="YS Text" w:hAnsi="YS Text"/>
          <w:color w:val="000000"/>
          <w:sz w:val="16"/>
          <w:szCs w:val="16"/>
        </w:rPr>
      </w:pPr>
      <w:r>
        <w:rPr>
          <w:rFonts w:ascii="YS Text" w:hAnsi="YS Text"/>
          <w:color w:val="000000"/>
          <w:sz w:val="16"/>
          <w:szCs w:val="16"/>
        </w:rPr>
        <w:t xml:space="preserve">«Образование» (в том числе логотип), адрес сайта и официальная символика Министерства просвещения</w:t>
      </w:r>
      <w:r/>
    </w:p>
    <w:p>
      <w:pPr>
        <w:shd w:val="clear" w:color="auto" w:fill="ffffff"/>
        <w:rPr>
          <w:rFonts w:ascii="YS Text" w:hAnsi="YS Text"/>
          <w:color w:val="000000"/>
          <w:sz w:val="16"/>
          <w:szCs w:val="16"/>
        </w:rPr>
      </w:pPr>
      <w:r>
        <w:rPr>
          <w:rFonts w:ascii="YS Text" w:hAnsi="YS Text"/>
          <w:color w:val="000000"/>
          <w:sz w:val="16"/>
          <w:szCs w:val="16"/>
        </w:rPr>
        <w:t xml:space="preserve">Российской Федерации.</w:t>
      </w:r>
      <w:r/>
    </w:p>
    <w:p>
      <w:pPr>
        <w:pStyle w:val="6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3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1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70"/>
    <w:next w:val="67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72"/>
    <w:link w:val="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72"/>
    <w:link w:val="671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70"/>
    <w:next w:val="67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7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70"/>
    <w:next w:val="67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7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70"/>
    <w:next w:val="67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7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70"/>
    <w:next w:val="67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7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70"/>
    <w:next w:val="67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7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70"/>
    <w:next w:val="67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7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70"/>
    <w:next w:val="67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7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70"/>
    <w:next w:val="67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72"/>
    <w:link w:val="32"/>
    <w:uiPriority w:val="10"/>
    <w:rPr>
      <w:sz w:val="48"/>
      <w:szCs w:val="48"/>
    </w:rPr>
  </w:style>
  <w:style w:type="paragraph" w:styleId="34">
    <w:name w:val="Subtitle"/>
    <w:basedOn w:val="670"/>
    <w:next w:val="67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72"/>
    <w:link w:val="34"/>
    <w:uiPriority w:val="11"/>
    <w:rPr>
      <w:sz w:val="24"/>
      <w:szCs w:val="24"/>
    </w:rPr>
  </w:style>
  <w:style w:type="paragraph" w:styleId="36">
    <w:name w:val="Quote"/>
    <w:basedOn w:val="670"/>
    <w:next w:val="67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70"/>
    <w:next w:val="67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7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72"/>
    <w:link w:val="40"/>
    <w:uiPriority w:val="99"/>
  </w:style>
  <w:style w:type="paragraph" w:styleId="42">
    <w:name w:val="Footer"/>
    <w:basedOn w:val="67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72"/>
    <w:link w:val="42"/>
    <w:uiPriority w:val="99"/>
  </w:style>
  <w:style w:type="paragraph" w:styleId="44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Footnote Text Char"/>
    <w:link w:val="676"/>
    <w:uiPriority w:val="99"/>
    <w:rPr>
      <w:sz w:val="18"/>
    </w:rPr>
  </w:style>
  <w:style w:type="paragraph" w:styleId="176">
    <w:name w:val="endnote text"/>
    <w:basedOn w:val="67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2"/>
    <w:uiPriority w:val="99"/>
    <w:semiHidden/>
    <w:unhideWhenUsed/>
    <w:rPr>
      <w:vertAlign w:val="superscript"/>
    </w:rPr>
  </w:style>
  <w:style w:type="paragraph" w:styleId="179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qFormat/>
    <w:pPr>
      <w:spacing w:after="0" w:line="240" w:lineRule="auto"/>
    </w:pPr>
    <w:rPr>
      <w:rFonts w:ascii="NTTimes/Cyrillic" w:hAnsi="NTTimes/Cyrillic" w:cs="Times New Roman" w:eastAsia="Times New Roman"/>
      <w:sz w:val="24"/>
      <w:szCs w:val="20"/>
      <w:lang w:eastAsia="ru-RU"/>
    </w:rPr>
  </w:style>
  <w:style w:type="paragraph" w:styleId="671">
    <w:name w:val="Heading 2"/>
    <w:basedOn w:val="670"/>
    <w:link w:val="683"/>
    <w:uiPriority w:val="9"/>
    <w:qFormat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table" w:styleId="675">
    <w:name w:val="Table Grid"/>
    <w:basedOn w:val="673"/>
    <w:uiPriority w:val="59"/>
    <w:pPr>
      <w:spacing w:after="0" w:line="240" w:lineRule="auto"/>
    </w:pPr>
    <w:rPr>
      <w:rFonts w:ascii="Calibri" w:hAnsi="Calibri" w:cs="Tahoma" w:eastAsia="Segoe UI"/>
      <w:sz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6">
    <w:name w:val="footnote text"/>
    <w:basedOn w:val="670"/>
    <w:link w:val="678"/>
    <w:uiPriority w:val="99"/>
    <w:semiHidden/>
    <w:unhideWhenUsed/>
    <w:rPr>
      <w:rFonts w:ascii="Calibri" w:hAnsi="Calibri" w:cs="Tahoma" w:eastAsia="Segoe UI"/>
      <w:sz w:val="20"/>
    </w:rPr>
  </w:style>
  <w:style w:type="character" w:styleId="677" w:customStyle="1">
    <w:name w:val="Текст сноски Знак"/>
    <w:basedOn w:val="672"/>
    <w:uiPriority w:val="99"/>
    <w:semiHidden/>
    <w:rPr>
      <w:rFonts w:ascii="NTTimes/Cyrillic" w:hAnsi="NTTimes/Cyrillic" w:cs="Times New Roman" w:eastAsia="Times New Roman"/>
      <w:sz w:val="20"/>
      <w:szCs w:val="20"/>
      <w:lang w:eastAsia="ru-RU"/>
    </w:rPr>
  </w:style>
  <w:style w:type="character" w:styleId="678" w:customStyle="1">
    <w:name w:val="Текст сноски Знак1"/>
    <w:basedOn w:val="672"/>
    <w:link w:val="676"/>
    <w:uiPriority w:val="99"/>
    <w:semiHidden/>
    <w:rPr>
      <w:rFonts w:ascii="Calibri" w:hAnsi="Calibri" w:cs="Tahoma" w:eastAsia="Segoe UI"/>
      <w:sz w:val="20"/>
      <w:szCs w:val="20"/>
      <w:lang w:eastAsia="ru-RU"/>
    </w:rPr>
  </w:style>
  <w:style w:type="character" w:styleId="679">
    <w:name w:val="footnote reference"/>
    <w:basedOn w:val="672"/>
    <w:uiPriority w:val="99"/>
    <w:semiHidden/>
    <w:unhideWhenUsed/>
    <w:rPr>
      <w:vertAlign w:val="superscript"/>
    </w:rPr>
  </w:style>
  <w:style w:type="character" w:styleId="680">
    <w:name w:val="Hyperlink"/>
    <w:basedOn w:val="672"/>
    <w:uiPriority w:val="99"/>
    <w:unhideWhenUsed/>
    <w:rPr>
      <w:color w:val="0563C1" w:themeColor="hyperlink"/>
      <w:u w:val="single"/>
    </w:rPr>
  </w:style>
  <w:style w:type="character" w:styleId="681">
    <w:name w:val="Unresolved Mention"/>
    <w:basedOn w:val="672"/>
    <w:uiPriority w:val="99"/>
    <w:semiHidden/>
    <w:unhideWhenUsed/>
    <w:rPr>
      <w:color w:val="605E5C"/>
      <w:shd w:val="clear" w:color="auto" w:fill="e1dfdd"/>
    </w:rPr>
  </w:style>
  <w:style w:type="paragraph" w:styleId="682">
    <w:name w:val="List Paragraph"/>
    <w:basedOn w:val="670"/>
    <w:uiPriority w:val="34"/>
    <w:qFormat/>
    <w:pPr>
      <w:contextualSpacing/>
      <w:ind w:left="720"/>
    </w:pPr>
  </w:style>
  <w:style w:type="character" w:styleId="683" w:customStyle="1">
    <w:name w:val="Заголовок 2 Знак"/>
    <w:basedOn w:val="672"/>
    <w:link w:val="671"/>
    <w:uiPriority w:val="9"/>
    <w:rPr>
      <w:rFonts w:ascii="Times New Roman" w:hAnsi="Times New Roman" w:cs="Times New Roman"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zabitui.alaredu.ru/index.php/tochka-rost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Белышева Ольга</dc:creator>
  <cp:keywords/>
  <dc:description/>
  <cp:lastModifiedBy>МБОУ Забитуйская СОШ Аларский район</cp:lastModifiedBy>
  <cp:revision>30</cp:revision>
  <dcterms:created xsi:type="dcterms:W3CDTF">2021-08-20T12:27:00Z</dcterms:created>
  <dcterms:modified xsi:type="dcterms:W3CDTF">2022-09-15T17:05:40Z</dcterms:modified>
</cp:coreProperties>
</file>